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794"/>
        <w:jc w:val="center"/>
        <w:tabs>
          <w:tab w:val="clear" w:pos="4153" w:leader="none"/>
          <w:tab w:val="clear" w:pos="830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</w:t>
      </w:r>
      <w:r/>
    </w:p>
    <w:p>
      <w:pPr>
        <w:pStyle w:val="794"/>
        <w:ind w:firstLine="709"/>
        <w:tabs>
          <w:tab w:val="clear" w:pos="4153" w:leader="none"/>
          <w:tab w:val="clear" w:pos="830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0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794"/>
              <w:jc w:val="left"/>
              <w:tabs>
                <w:tab w:val="clear" w:pos="4153" w:leader="none"/>
                <w:tab w:val="clear" w:pos="83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28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г.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pStyle w:val="794"/>
              <w:jc w:val="center"/>
              <w:tabs>
                <w:tab w:val="clear" w:pos="4153" w:leader="none"/>
                <w:tab w:val="clear" w:pos="83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114</w:t>
            </w:r>
            <w:r>
              <w:rPr>
                <w:sz w:val="28"/>
                <w:szCs w:val="28"/>
              </w:rPr>
              <w:t xml:space="preserve">-од</w:t>
            </w:r>
            <w:r/>
          </w:p>
        </w:tc>
        <w:tc>
          <w:tcPr>
            <w:tcW w:w="3934" w:type="dxa"/>
            <w:textDirection w:val="lrTb"/>
            <w:noWrap w:val="false"/>
          </w:tcPr>
          <w:p>
            <w:pPr>
              <w:pStyle w:val="794"/>
              <w:jc w:val="right"/>
              <w:tabs>
                <w:tab w:val="clear" w:pos="4153" w:leader="none"/>
                <w:tab w:val="clear" w:pos="830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Элиста</w:t>
            </w:r>
            <w:r/>
          </w:p>
        </w:tc>
      </w:tr>
    </w:tbl>
    <w:p>
      <w:pPr>
        <w:pStyle w:val="794"/>
        <w:tabs>
          <w:tab w:val="clear" w:pos="4153" w:leader="none"/>
          <w:tab w:val="clear" w:pos="830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94"/>
        <w:ind w:right="3258"/>
        <w:tabs>
          <w:tab w:val="left" w:pos="708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tbl>
      <w:tblPr>
        <w:tblStyle w:val="802"/>
        <w:tblW w:w="14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314"/>
        <w:gridCol w:w="4217"/>
      </w:tblGrid>
      <w:tr>
        <w:trPr/>
        <w:tc>
          <w:tcPr>
            <w:tcW w:w="10314" w:type="dxa"/>
            <w:textDirection w:val="lrTb"/>
            <w:noWrap w:val="false"/>
          </w:tcPr>
          <w:p>
            <w:pPr>
              <w:pStyle w:val="794"/>
              <w:ind w:right="-2"/>
              <w:jc w:val="center"/>
              <w:tabs>
                <w:tab w:val="left" w:pos="708" w:leader="none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Об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утверждении результатов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определения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кадастровой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стоимости</w:t>
            </w:r>
            <w:r>
              <w:rPr>
                <w:sz w:val="28"/>
                <w:szCs w:val="28"/>
              </w:rPr>
              <w:t xml:space="preserve">всех учтенных в Едином государственном реестре недвижимости на территории </w:t>
            </w:r>
            <w:r>
              <w:rPr>
                <w:sz w:val="28"/>
                <w:szCs w:val="28"/>
              </w:rPr>
              <w:t xml:space="preserve">Республики Калмыкия</w:t>
            </w:r>
            <w:r>
              <w:rPr>
                <w:sz w:val="28"/>
                <w:szCs w:val="28"/>
              </w:rPr>
              <w:t xml:space="preserve"> земельных участков</w:t>
            </w:r>
            <w:r/>
          </w:p>
        </w:tc>
        <w:tc>
          <w:tcPr>
            <w:tcW w:w="4217" w:type="dxa"/>
            <w:textDirection w:val="lrTb"/>
            <w:noWrap w:val="false"/>
          </w:tcPr>
          <w:p>
            <w:pPr>
              <w:pStyle w:val="794"/>
              <w:ind w:right="-2"/>
              <w:tabs>
                <w:tab w:val="left" w:pos="708" w:leader="none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</w:r>
            <w:r/>
          </w:p>
        </w:tc>
      </w:tr>
    </w:tbl>
    <w:p>
      <w:pPr>
        <w:pStyle w:val="794"/>
        <w:ind w:right="-2"/>
        <w:tabs>
          <w:tab w:val="left" w:pos="708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</w:t>
      </w:r>
      <w:r>
        <w:rPr>
          <w:sz w:val="28"/>
          <w:szCs w:val="28"/>
        </w:rPr>
        <w:t xml:space="preserve">етствии с Федеральным законом от 03.07.2017 № 237-ФЗ «О государственной кадастровой оценке», распоряжением Правительства Республики Калмыкия от 28.11.2017 № 419-р «О переходе к проведению государственной кадастровой оценки в Республике Калмыкия в соответст</w:t>
      </w:r>
      <w:r>
        <w:rPr>
          <w:sz w:val="28"/>
          <w:szCs w:val="28"/>
        </w:rPr>
        <w:t xml:space="preserve">вии с Федеральным законом от 03.07.2017 № 237-ФЗ «О государственной кадастровой оценке», Положением о Министерстве по земельным и имущественным отношениям Республики Калмыкия, утвержденным постановлением Правительства Республики Калмыкия от 20.02.2013 № 65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Министерства по земельным и имущественным отношениям Республики Калмыкия 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-р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рове</w:t>
      </w:r>
      <w:r>
        <w:rPr>
          <w:sz w:val="28"/>
          <w:szCs w:val="28"/>
        </w:rPr>
        <w:t xml:space="preserve">дениив 2022 году </w:t>
      </w:r>
      <w:r>
        <w:rPr>
          <w:sz w:val="28"/>
          <w:szCs w:val="28"/>
        </w:rPr>
        <w:t xml:space="preserve">государственн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 определ</w:t>
      </w:r>
      <w:r>
        <w:rPr>
          <w:sz w:val="28"/>
          <w:szCs w:val="28"/>
        </w:rPr>
        <w:t xml:space="preserve">ении</w:t>
      </w:r>
      <w:r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иодновременно в отношении всех учтенных в Едином государственном реестре недвижимости на территории </w:t>
      </w:r>
      <w:r>
        <w:rPr>
          <w:sz w:val="28"/>
          <w:szCs w:val="28"/>
        </w:rPr>
        <w:t xml:space="preserve">Республики Калмыкия</w:t>
      </w:r>
      <w:r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п р и к а з ы в а ю:</w:t>
      </w:r>
      <w:r/>
    </w:p>
    <w:p>
      <w:pPr>
        <w:ind w:firstLine="709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результаты </w:t>
      </w:r>
      <w:r>
        <w:rPr>
          <w:sz w:val="28"/>
          <w:szCs w:val="28"/>
        </w:rPr>
        <w:t xml:space="preserve">определения</w:t>
      </w:r>
      <w:r>
        <w:rPr>
          <w:sz w:val="28"/>
          <w:szCs w:val="28"/>
        </w:rPr>
        <w:t xml:space="preserve"> кадастровой </w:t>
      </w:r>
      <w:r>
        <w:rPr>
          <w:sz w:val="28"/>
          <w:szCs w:val="28"/>
        </w:rPr>
        <w:t xml:space="preserve">стоимости</w:t>
      </w:r>
      <w:r>
        <w:rPr>
          <w:sz w:val="28"/>
          <w:szCs w:val="28"/>
        </w:rPr>
        <w:t xml:space="preserve">всех учтенных в Едином государственном реестре недвижимости на территории </w:t>
      </w:r>
      <w:r>
        <w:rPr>
          <w:sz w:val="28"/>
          <w:szCs w:val="28"/>
        </w:rPr>
        <w:t xml:space="preserve">Республики Калмыкия</w:t>
      </w:r>
      <w:r>
        <w:rPr>
          <w:sz w:val="28"/>
          <w:szCs w:val="28"/>
        </w:rPr>
        <w:t xml:space="preserve"> земельных участков</w:t>
      </w:r>
      <w:r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 xml:space="preserve">–результаты ГКО</w:t>
      </w:r>
      <w:r>
        <w:rPr>
          <w:spacing w:val="2"/>
          <w:sz w:val="28"/>
          <w:szCs w:val="28"/>
        </w:rPr>
        <w:t xml:space="preserve">)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согласно приложению к настоящему </w:t>
      </w:r>
      <w:r>
        <w:rPr>
          <w:spacing w:val="2"/>
          <w:sz w:val="28"/>
          <w:szCs w:val="28"/>
        </w:rPr>
        <w:t xml:space="preserve">приказу</w:t>
      </w:r>
      <w:r>
        <w:rPr>
          <w:spacing w:val="2"/>
          <w:sz w:val="28"/>
          <w:szCs w:val="28"/>
        </w:rPr>
        <w:t xml:space="preserve">.</w:t>
      </w:r>
      <w:r/>
    </w:p>
    <w:p>
      <w:pPr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извещение об утверждении результатов ГКО и копию настоящего приказа на официальном </w:t>
      </w:r>
      <w:r>
        <w:rPr>
          <w:sz w:val="28"/>
          <w:szCs w:val="28"/>
        </w:rPr>
        <w:t xml:space="preserve">сайте Министерства по земельным и имущественным отношениям Республики Калмыкия в информационно-телекоммуникационной сети «Интернет».</w:t>
      </w:r>
      <w:r/>
    </w:p>
    <w:p>
      <w:pPr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извещение об утверждении результатов ГКО и копию настоящего приказа </w:t>
      </w:r>
      <w:r>
        <w:rPr>
          <w:spacing w:val="2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сетевом издании «Вестник правовых актов Правительства Республики Калмыкия и органов исполнительной власти Республики Калмыкия»</w:t>
      </w:r>
      <w:r>
        <w:rPr>
          <w:spacing w:val="2"/>
          <w:sz w:val="28"/>
          <w:szCs w:val="28"/>
        </w:rPr>
        <w:t xml:space="preserve"> согласно пункту 2 </w:t>
      </w:r>
      <w:r>
        <w:rPr>
          <w:sz w:val="28"/>
          <w:szCs w:val="28"/>
        </w:rPr>
        <w:t xml:space="preserve">Указа Главы Республики Калмыкия от 21.08.2014 № 104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порядке опубликования и вступления в силу актов Правительства Республики Калмыкия и актов органов исполнительной власти Республики Калмыкия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2"/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извещение об утверждении результатов ГКО и копию настоящего приказа на информационных щитах Министерства по земельным и имущественным отношениям Республики Калмыкия.</w:t>
      </w:r>
      <w:r/>
    </w:p>
    <w:p>
      <w:pPr>
        <w:pStyle w:val="794"/>
        <w:contextualSpacing/>
        <w:ind w:firstLine="709"/>
        <w:tabs>
          <w:tab w:val="left" w:pos="709" w:leader="none"/>
          <w:tab w:val="left" w:pos="851" w:leader="none"/>
          <w:tab w:val="left" w:pos="6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Направить информацию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</w:t>
      </w:r>
      <w:r>
        <w:rPr>
          <w:sz w:val="28"/>
          <w:szCs w:val="28"/>
        </w:rPr>
        <w:t xml:space="preserve">, для размещения извещения </w:t>
      </w:r>
      <w:r>
        <w:rPr>
          <w:sz w:val="28"/>
          <w:szCs w:val="28"/>
        </w:rPr>
        <w:t xml:space="preserve">на официальных сайтах</w:t>
      </w:r>
      <w:r>
        <w:rPr>
          <w:sz w:val="28"/>
          <w:szCs w:val="28"/>
        </w:rPr>
        <w:t xml:space="preserve"> указанных органов</w:t>
      </w:r>
      <w:r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 xml:space="preserve">онно-телекоммуникационной сети «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(при их наличии), опубликования соответствующей информации в печатных средствах массовой информации, а также размещения извещения </w:t>
      </w:r>
      <w:r>
        <w:rPr>
          <w:sz w:val="28"/>
          <w:szCs w:val="28"/>
        </w:rPr>
        <w:t xml:space="preserve">на информационных щитах</w:t>
      </w:r>
      <w:r>
        <w:rPr>
          <w:sz w:val="28"/>
          <w:szCs w:val="28"/>
        </w:rPr>
        <w:t xml:space="preserve"> указанных органов</w:t>
      </w:r>
      <w:r>
        <w:rPr>
          <w:sz w:val="28"/>
          <w:szCs w:val="28"/>
        </w:rPr>
        <w:t xml:space="preserve">.</w:t>
      </w:r>
      <w:r/>
    </w:p>
    <w:p>
      <w:pPr>
        <w:pStyle w:val="794"/>
        <w:contextualSpacing/>
        <w:ind w:firstLine="709"/>
        <w:tabs>
          <w:tab w:val="left" w:pos="709" w:leader="none"/>
          <w:tab w:val="left" w:pos="851" w:leader="none"/>
          <w:tab w:val="left" w:pos="6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Признать </w:t>
      </w:r>
      <w:r>
        <w:rPr>
          <w:sz w:val="28"/>
          <w:szCs w:val="28"/>
          <w:lang w:eastAsia="ar-SA"/>
        </w:rPr>
        <w:t xml:space="preserve">утратившим силу </w:t>
      </w:r>
      <w:r>
        <w:rPr>
          <w:sz w:val="28"/>
          <w:szCs w:val="28"/>
        </w:rPr>
        <w:t xml:space="preserve">приказ Министерства по земельным и имущественным отношениям Республики Калмыкия </w:t>
      </w:r>
      <w:r>
        <w:rPr>
          <w:sz w:val="28"/>
          <w:szCs w:val="28"/>
        </w:rPr>
        <w:t xml:space="preserve">№72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од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 xml:space="preserve">Об утверждении результатов определения кадастровой стоимости категорий земель сельскохозяйственного назначения и земель населенных пунктов, расположенных на территории Республики Калмыкия</w:t>
      </w:r>
      <w:r>
        <w:rPr>
          <w:sz w:val="28"/>
          <w:szCs w:val="28"/>
        </w:rPr>
        <w:t xml:space="preserve">» с </w:t>
      </w:r>
      <w:r>
        <w:rPr>
          <w:sz w:val="28"/>
          <w:szCs w:val="28"/>
        </w:rPr>
        <w:t xml:space="preserve">01.01.202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</w:t>
      </w:r>
      <w:r/>
    </w:p>
    <w:p>
      <w:pPr>
        <w:pStyle w:val="794"/>
        <w:contextualSpacing/>
        <w:ind w:firstLine="709"/>
        <w:tabs>
          <w:tab w:val="left" w:pos="708" w:leader="none"/>
          <w:tab w:val="left" w:pos="851" w:leader="none"/>
          <w:tab w:val="left" w:pos="6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Признать </w:t>
      </w:r>
      <w:r>
        <w:rPr>
          <w:sz w:val="28"/>
          <w:szCs w:val="28"/>
          <w:lang w:eastAsia="ar-SA"/>
        </w:rPr>
        <w:t xml:space="preserve">утратившим силу </w:t>
      </w:r>
      <w:r>
        <w:rPr>
          <w:sz w:val="28"/>
          <w:szCs w:val="28"/>
        </w:rPr>
        <w:t xml:space="preserve">приказ Министерства по земельным и имущественным отношениям Республики Калмыкия №</w:t>
      </w:r>
      <w:r>
        <w:rPr>
          <w:sz w:val="28"/>
          <w:szCs w:val="28"/>
        </w:rPr>
        <w:t xml:space="preserve">105</w:t>
      </w:r>
      <w:r>
        <w:rPr>
          <w:sz w:val="28"/>
          <w:szCs w:val="28"/>
        </w:rPr>
        <w:t xml:space="preserve">-од от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.2020 «</w:t>
      </w:r>
      <w:r>
        <w:rPr>
          <w:color w:val="000000"/>
          <w:spacing w:val="2"/>
          <w:sz w:val="28"/>
          <w:szCs w:val="28"/>
        </w:rPr>
        <w:t xml:space="preserve">Об утверждении результатов определения кадастровой стоимости категорий земель </w:t>
      </w:r>
      <w:r>
        <w:rPr>
          <w:sz w:val="28"/>
          <w:szCs w:val="28"/>
        </w:rPr>
        <w:t xml:space="preserve">промышленности, энергетики, транспорт</w:t>
      </w:r>
      <w:r>
        <w:rPr>
          <w:sz w:val="28"/>
          <w:szCs w:val="28"/>
        </w:rPr>
        <w:t xml:space="preserve">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назначения, земель особо охраняемых территорий и объектов, земель лесного фонда, земель водного фонда</w:t>
      </w:r>
      <w:r>
        <w:rPr>
          <w:color w:val="000000"/>
          <w:spacing w:val="2"/>
          <w:sz w:val="28"/>
          <w:szCs w:val="28"/>
        </w:rPr>
        <w:t xml:space="preserve">, расположенных на территории Республики Калмыкия</w:t>
      </w:r>
      <w:r>
        <w:rPr>
          <w:sz w:val="28"/>
          <w:szCs w:val="28"/>
        </w:rPr>
        <w:t xml:space="preserve">» с 01.01.2023 года.</w:t>
      </w:r>
      <w:r/>
    </w:p>
    <w:p>
      <w:pPr>
        <w:pStyle w:val="794"/>
        <w:contextualSpacing/>
        <w:ind w:firstLine="709"/>
        <w:tabs>
          <w:tab w:val="left" w:pos="708" w:leader="none"/>
          <w:tab w:val="left" w:pos="851" w:leader="none"/>
          <w:tab w:val="left" w:pos="6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Настоящий приказ вступает в силу по истечении </w:t>
      </w:r>
      <w:r>
        <w:rPr>
          <w:sz w:val="28"/>
          <w:szCs w:val="28"/>
        </w:rPr>
        <w:t xml:space="preserve">одного месяца после дня его обнародования (официального опубликования)</w:t>
      </w:r>
      <w:r>
        <w:rPr>
          <w:sz w:val="28"/>
          <w:szCs w:val="28"/>
        </w:rPr>
        <w:t xml:space="preserve">.</w:t>
      </w:r>
      <w:r/>
    </w:p>
    <w:p>
      <w:pPr>
        <w:pStyle w:val="794"/>
        <w:contextualSpacing/>
        <w:ind w:firstLine="709"/>
        <w:tabs>
          <w:tab w:val="left" w:pos="708" w:leader="none"/>
          <w:tab w:val="left" w:pos="851" w:leader="none"/>
          <w:tab w:val="left" w:pos="6210" w:leader="none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Приложение</w:t>
      </w:r>
      <w:r>
        <w:rPr>
          <w:spacing w:val="2"/>
          <w:sz w:val="28"/>
          <w:szCs w:val="28"/>
        </w:rPr>
        <w:t xml:space="preserve">:</w:t>
      </w:r>
      <w:r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 xml:space="preserve">электронном носителе (диск С</w:t>
      </w:r>
      <w:r>
        <w:rPr>
          <w:spacing w:val="2"/>
          <w:sz w:val="28"/>
          <w:szCs w:val="28"/>
          <w:lang w:val="en-US"/>
        </w:rPr>
        <w:t xml:space="preserve">D</w:t>
      </w: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  <w:lang w:val="en-US"/>
        </w:rPr>
        <w:t xml:space="preserve">R</w:t>
      </w:r>
      <w:r>
        <w:rPr>
          <w:spacing w:val="2"/>
          <w:sz w:val="28"/>
          <w:szCs w:val="28"/>
        </w:rPr>
        <w:t xml:space="preserve">)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794"/>
        <w:contextualSpacing/>
        <w:ind w:right="-6" w:firstLine="709"/>
        <w:tabs>
          <w:tab w:val="left" w:pos="708" w:leader="none"/>
          <w:tab w:val="left" w:pos="621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794"/>
        <w:contextualSpacing/>
        <w:ind w:right="-6" w:firstLine="709"/>
        <w:tabs>
          <w:tab w:val="left" w:pos="708" w:leader="none"/>
          <w:tab w:val="left" w:pos="6210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/>
    </w:p>
    <w:tbl>
      <w:tblPr>
        <w:tblStyle w:val="80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794"/>
              <w:contextualSpacing/>
              <w:ind w:right="-6"/>
              <w:tabs>
                <w:tab w:val="left" w:pos="0" w:leader="none"/>
                <w:tab w:val="left" w:pos="6210" w:leader="none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Министр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pStyle w:val="794"/>
              <w:contextualSpacing/>
              <w:ind w:right="-6"/>
              <w:tabs>
                <w:tab w:val="left" w:pos="0" w:leader="none"/>
                <w:tab w:val="left" w:pos="6210" w:leader="none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</w:r>
            <w:r/>
          </w:p>
        </w:tc>
        <w:tc>
          <w:tcPr>
            <w:tcW w:w="3934" w:type="dxa"/>
            <w:textDirection w:val="lrTb"/>
            <w:noWrap w:val="false"/>
          </w:tcPr>
          <w:p>
            <w:pPr>
              <w:pStyle w:val="794"/>
              <w:contextualSpacing/>
              <w:ind w:right="-6"/>
              <w:jc w:val="right"/>
              <w:tabs>
                <w:tab w:val="left" w:pos="0" w:leader="none"/>
                <w:tab w:val="left" w:pos="6210" w:leader="none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Э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Н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Церено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в</w:t>
            </w:r>
            <w:r/>
          </w:p>
        </w:tc>
      </w:tr>
    </w:tbl>
    <w:p>
      <w:pPr>
        <w:pStyle w:val="794"/>
        <w:ind w:right="-6"/>
        <w:tabs>
          <w:tab w:val="left" w:pos="708" w:leader="none"/>
          <w:tab w:val="left" w:pos="6210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1134" w:left="113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4536"/>
      <w:gridCol w:w="1560"/>
      <w:gridCol w:w="4110"/>
    </w:tblGrid>
    <w:tr>
      <w:trPr>
        <w:trHeight w:val="987"/>
      </w:trPr>
      <w:tc>
        <w:tcPr>
          <w:tcW w:w="4536" w:type="dxa"/>
          <w:vAlign w:val="center"/>
          <w:textDirection w:val="lrTb"/>
          <w:noWrap w:val="false"/>
        </w:tcPr>
        <w:p>
          <w:pPr>
            <w:pStyle w:val="794"/>
            <w:jc w:val="center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МИНИСТЕРСТВО</w:t>
          </w:r>
          <w:r/>
        </w:p>
        <w:p>
          <w:pPr>
            <w:pStyle w:val="794"/>
            <w:jc w:val="center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ПО ЗЕМЕЛЬНЫМ И ИМУЩЕСТВЕННЫМ</w:t>
          </w:r>
          <w:r/>
        </w:p>
        <w:p>
          <w:pPr>
            <w:pStyle w:val="794"/>
            <w:jc w:val="center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ОТНОШЕНИЯМ </w:t>
          </w:r>
          <w:r/>
        </w:p>
        <w:p>
          <w:pPr>
            <w:pStyle w:val="794"/>
            <w:jc w:val="center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РЕСПУБЛИКИ КАЛМЫКИЯ</w:t>
          </w:r>
          <w:r/>
        </w:p>
      </w:tc>
      <w:tc>
        <w:tcPr>
          <w:tcW w:w="1560" w:type="dxa"/>
          <w:textDirection w:val="lrTb"/>
          <w:noWrap w:val="false"/>
        </w:tcPr>
        <w:p>
          <w:pPr>
            <w:pStyle w:val="794"/>
            <w:jc w:val="center"/>
          </w:pPr>
          <w:r>
            <w:rPr>
              <w:rFonts w:ascii="Bookman Old Style" w:hAnsi="Bookman Old Style"/>
              <w:sz w:val="18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600075" cy="619125"/>
                    <wp:effectExtent l="0" t="0" r="0" b="0"/>
                    <wp:docPr id="1" name="Рисунок 1" descr="GERB1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ERB1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00075" cy="619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7.2pt;height:48.8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W w:w="4110" w:type="dxa"/>
          <w:vAlign w:val="center"/>
          <w:textDirection w:val="lrTb"/>
          <w:noWrap w:val="false"/>
        </w:tcPr>
        <w:p>
          <w:pPr>
            <w:jc w:val="center"/>
            <w:rPr>
              <w:rFonts w:ascii="Bookman Old Style" w:hAnsi="Bookman Old Style"/>
              <w:color w:val="0000FF"/>
              <w:sz w:val="18"/>
              <w:szCs w:val="18"/>
            </w:rPr>
          </w:pPr>
          <w:r>
            <w:rPr>
              <w:rFonts w:ascii="Bookman Old Style" w:hAnsi="Bookman Old Style"/>
              <w:color w:val="0000FF"/>
              <w:sz w:val="18"/>
              <w:szCs w:val="18"/>
            </w:rPr>
          </w:r>
          <w:r/>
        </w:p>
        <w:p>
          <w:pPr>
            <w:jc w:val="center"/>
            <w:rPr>
              <w:rFonts w:ascii="Bookman Old Style" w:hAnsi="Bookman Old Style" w:cs="Bookman Old Style"/>
              <w:color w:val="0000FF"/>
              <w:sz w:val="18"/>
              <w:szCs w:val="18"/>
            </w:rPr>
          </w:pPr>
          <w:r>
            <w:rPr>
              <w:rFonts w:ascii="Bookman Old Style" w:hAnsi="Bookman Old Style"/>
              <w:color w:val="0000FF"/>
              <w:sz w:val="18"/>
              <w:szCs w:val="18"/>
            </w:rPr>
            <w:t xml:space="preserve">ХАЛЬМГ ТА</w:t>
          </w:r>
          <w:r>
            <w:rPr>
              <w:color w:val="0000FF"/>
              <w:sz w:val="18"/>
              <w:szCs w:val="18"/>
            </w:rPr>
            <w:t xml:space="preserve">ҢҺ</w:t>
          </w:r>
          <w:r>
            <w:rPr>
              <w:rFonts w:ascii="Bookman Old Style" w:hAnsi="Bookman Old Style"/>
              <w:color w:val="0000FF"/>
              <w:sz w:val="18"/>
              <w:szCs w:val="18"/>
            </w:rPr>
            <w:t xml:space="preserve">ЧИН </w:t>
          </w:r>
          <w:r>
            <w:rPr>
              <w:color w:val="0000FF"/>
              <w:sz w:val="18"/>
              <w:szCs w:val="18"/>
            </w:rPr>
            <w:t xml:space="preserve">Һ</w:t>
          </w:r>
          <w:r>
            <w:rPr>
              <w:rFonts w:ascii="Bookman Old Style" w:hAnsi="Bookman Old Style" w:cs="Bookman Old Style"/>
              <w:color w:val="0000FF"/>
              <w:sz w:val="18"/>
              <w:szCs w:val="18"/>
            </w:rPr>
            <w:t xml:space="preserve">АЗРИН </w:t>
          </w:r>
          <w:r/>
        </w:p>
        <w:p>
          <w:pPr>
            <w:jc w:val="center"/>
            <w:rPr>
              <w:rFonts w:ascii="Bookman Old Style" w:hAnsi="Bookman Old Style" w:cs="Bookman Old Style"/>
              <w:color w:val="0000FF"/>
              <w:sz w:val="18"/>
              <w:szCs w:val="18"/>
            </w:rPr>
          </w:pPr>
          <w:r>
            <w:rPr>
              <w:rFonts w:ascii="Bookman Old Style" w:hAnsi="Bookman Old Style"/>
              <w:color w:val="0000FF"/>
              <w:sz w:val="18"/>
              <w:szCs w:val="18"/>
            </w:rPr>
            <w:t xml:space="preserve">БОЛН З</w:t>
          </w:r>
          <w:r>
            <w:rPr>
              <w:color w:val="0000FF"/>
              <w:sz w:val="18"/>
              <w:szCs w:val="18"/>
            </w:rPr>
            <w:t xml:space="preserve">ӨӨ</w:t>
          </w:r>
          <w:r>
            <w:rPr>
              <w:rFonts w:ascii="Bookman Old Style" w:hAnsi="Bookman Old Style" w:cs="Bookman Old Style"/>
              <w:color w:val="0000FF"/>
              <w:sz w:val="18"/>
              <w:szCs w:val="18"/>
            </w:rPr>
            <w:t xml:space="preserve">РИН</w:t>
          </w:r>
          <w:r/>
        </w:p>
        <w:p>
          <w:pPr>
            <w:jc w:val="center"/>
            <w:rPr>
              <w:rFonts w:ascii="Bookman Old Style" w:hAnsi="Bookman Old Style"/>
              <w:b/>
              <w:color w:val="0000FF"/>
              <w:sz w:val="18"/>
              <w:szCs w:val="18"/>
            </w:rPr>
          </w:pPr>
          <w:r>
            <w:rPr>
              <w:rFonts w:ascii="Bookman Old Style" w:hAnsi="Bookman Old Style"/>
              <w:color w:val="0000FF"/>
              <w:sz w:val="18"/>
              <w:szCs w:val="18"/>
            </w:rPr>
            <w:t xml:space="preserve">Х</w:t>
          </w:r>
          <w:r>
            <w:rPr>
              <w:color w:val="0000FF"/>
              <w:sz w:val="18"/>
              <w:szCs w:val="18"/>
            </w:rPr>
            <w:t xml:space="preserve">Ә</w:t>
          </w:r>
          <w:r>
            <w:rPr>
              <w:rFonts w:ascii="Bookman Old Style" w:hAnsi="Bookman Old Style" w:cs="Bookman Old Style"/>
              <w:color w:val="0000FF"/>
              <w:sz w:val="18"/>
              <w:szCs w:val="18"/>
            </w:rPr>
            <w:t xml:space="preserve">РЛЦ</w:t>
          </w:r>
          <w:r>
            <w:rPr>
              <w:color w:val="0000FF"/>
              <w:sz w:val="18"/>
              <w:szCs w:val="18"/>
            </w:rPr>
            <w:t xml:space="preserve">Ә</w:t>
          </w:r>
          <w:r>
            <w:rPr>
              <w:rFonts w:ascii="Bookman Old Style" w:hAnsi="Bookman Old Style" w:cs="Bookman Old Style"/>
              <w:color w:val="0000FF"/>
              <w:sz w:val="18"/>
              <w:szCs w:val="18"/>
            </w:rPr>
            <w:t xml:space="preserve">Н</w:t>
          </w:r>
          <w:r>
            <w:rPr>
              <w:color w:val="0000FF"/>
              <w:sz w:val="18"/>
              <w:szCs w:val="18"/>
            </w:rPr>
            <w:t xml:space="preserve">Ә</w:t>
          </w:r>
          <w:r>
            <w:rPr>
              <w:rFonts w:ascii="Bookman Old Style" w:hAnsi="Bookman Old Style" w:cs="Bookman Old Style"/>
              <w:color w:val="0000FF"/>
              <w:sz w:val="18"/>
              <w:szCs w:val="18"/>
            </w:rPr>
            <w:t xml:space="preserve"> МИНИС</w:t>
          </w:r>
          <w:r>
            <w:rPr>
              <w:rFonts w:ascii="Bookman Old Style" w:hAnsi="Bookman Old Style"/>
              <w:color w:val="0000FF"/>
              <w:sz w:val="18"/>
              <w:szCs w:val="18"/>
            </w:rPr>
            <w:t xml:space="preserve">ТЕРСТВ</w:t>
          </w:r>
          <w:r/>
        </w:p>
        <w:p>
          <w:pPr>
            <w:pStyle w:val="794"/>
            <w:ind w:firstLine="237"/>
            <w:jc w:val="center"/>
            <w:spacing w:line="240" w:lineRule="exact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</w:r>
          <w:r/>
        </w:p>
      </w:tc>
    </w:tr>
    <w:tr>
      <w:trPr>
        <w:cantSplit/>
      </w:trPr>
      <w:tc>
        <w:tcPr>
          <w:gridSpan w:val="3"/>
          <w:tcW w:w="10206" w:type="dxa"/>
          <w:textDirection w:val="lrTb"/>
          <w:noWrap w:val="false"/>
        </w:tcPr>
        <w:p>
          <w:pPr>
            <w:pStyle w:val="794"/>
            <w:jc w:val="center"/>
            <w:rPr>
              <w:sz w:val="18"/>
            </w:rPr>
          </w:pPr>
          <w:r>
            <w:rPr>
              <w:sz w:val="18"/>
            </w:rPr>
          </w:r>
          <w:r/>
        </w:p>
      </w:tc>
    </w:tr>
    <w:tr>
      <w:trPr>
        <w:cantSplit/>
        <w:trHeight w:val="279"/>
      </w:trPr>
      <w:tc>
        <w:tcPr>
          <w:gridSpan w:val="3"/>
          <w:tcBorders>
            <w:bottom w:val="single" w:color="auto" w:sz="24" w:space="0"/>
          </w:tcBorders>
          <w:tcW w:w="10206" w:type="dxa"/>
          <w:vAlign w:val="center"/>
          <w:textDirection w:val="lrTb"/>
          <w:noWrap w:val="false"/>
        </w:tcPr>
        <w:p>
          <w:pPr>
            <w:pStyle w:val="794"/>
            <w:jc w:val="center"/>
            <w:rPr>
              <w:sz w:val="16"/>
            </w:rPr>
          </w:pPr>
          <w:r>
            <w:rPr>
              <w:sz w:val="16"/>
            </w:rPr>
          </w:r>
          <w:r/>
        </w:p>
      </w:tc>
    </w:tr>
  </w:tbl>
  <w:p>
    <w:pPr>
      <w:pStyle w:val="794"/>
      <w:jc w:val="right"/>
      <w:rPr>
        <w:sz w:val="18"/>
        <w:szCs w:val="18"/>
      </w:rPr>
    </w:pPr>
    <w:r>
      <w:rPr>
        <w:sz w:val="18"/>
        <w:szCs w:val="18"/>
      </w:rPr>
      <w:t xml:space="preserve">Экз. №___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435"/>
        <w:tabs>
          <w:tab w:val="num" w:pos="79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egacy w:legacy="1" w:legacyIndent="264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num" w:pos="6555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570"/>
        <w:tabs>
          <w:tab w:val="num" w:pos="93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2" w:hanging="375"/>
        <w:tabs>
          <w:tab w:val="num" w:pos="94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360"/>
        <w:tabs>
          <w:tab w:val="num" w:pos="15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235" w:hanging="360"/>
        <w:tabs>
          <w:tab w:val="num" w:pos="22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955" w:hanging="180"/>
        <w:tabs>
          <w:tab w:val="num" w:pos="29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75" w:hanging="360"/>
        <w:tabs>
          <w:tab w:val="num" w:pos="36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95" w:hanging="360"/>
        <w:tabs>
          <w:tab w:val="num" w:pos="43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115" w:hanging="180"/>
        <w:tabs>
          <w:tab w:val="num" w:pos="51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35" w:hanging="360"/>
        <w:tabs>
          <w:tab w:val="num" w:pos="58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55" w:hanging="360"/>
        <w:tabs>
          <w:tab w:val="num" w:pos="65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75" w:hanging="180"/>
        <w:tabs>
          <w:tab w:val="num" w:pos="7275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9"/>
  </w:num>
  <w:num w:numId="11">
    <w:abstractNumId w:val="16"/>
  </w:num>
  <w:num w:numId="12">
    <w:abstractNumId w:val="15"/>
  </w:num>
  <w:num w:numId="13">
    <w:abstractNumId w:val="12"/>
    <w:lvlOverride w:ilvl="0">
      <w:startOverride w:val="3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8"/>
  </w:num>
  <w:num w:numId="18">
    <w:abstractNumId w:val="1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68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90"/>
    <w:next w:val="79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9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90"/>
    <w:next w:val="79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9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90"/>
    <w:next w:val="79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9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90"/>
    <w:next w:val="79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9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90"/>
    <w:next w:val="79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9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90"/>
    <w:next w:val="79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9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90"/>
    <w:next w:val="79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9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90"/>
    <w:next w:val="79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9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90"/>
    <w:next w:val="79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9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9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91"/>
    <w:link w:val="795"/>
    <w:uiPriority w:val="10"/>
    <w:rPr>
      <w:sz w:val="48"/>
      <w:szCs w:val="48"/>
    </w:rPr>
  </w:style>
  <w:style w:type="character" w:styleId="35">
    <w:name w:val="Subtitle Char"/>
    <w:basedOn w:val="791"/>
    <w:link w:val="804"/>
    <w:uiPriority w:val="11"/>
    <w:rPr>
      <w:sz w:val="24"/>
      <w:szCs w:val="24"/>
    </w:rPr>
  </w:style>
  <w:style w:type="paragraph" w:styleId="36">
    <w:name w:val="Quote"/>
    <w:basedOn w:val="790"/>
    <w:next w:val="79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90"/>
    <w:next w:val="79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91"/>
    <w:link w:val="794"/>
    <w:uiPriority w:val="99"/>
  </w:style>
  <w:style w:type="character" w:styleId="43">
    <w:name w:val="Footer Char"/>
    <w:basedOn w:val="791"/>
    <w:link w:val="800"/>
    <w:uiPriority w:val="99"/>
  </w:style>
  <w:style w:type="character" w:styleId="45">
    <w:name w:val="Caption Char"/>
    <w:basedOn w:val="798"/>
    <w:link w:val="800"/>
    <w:uiPriority w:val="99"/>
  </w:style>
  <w:style w:type="table" w:styleId="47">
    <w:name w:val="Table Grid Light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9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91"/>
    <w:uiPriority w:val="99"/>
    <w:unhideWhenUsed/>
    <w:rPr>
      <w:vertAlign w:val="superscript"/>
    </w:rPr>
  </w:style>
  <w:style w:type="paragraph" w:styleId="176">
    <w:name w:val="endnote text"/>
    <w:basedOn w:val="79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91"/>
    <w:uiPriority w:val="99"/>
    <w:semiHidden/>
    <w:unhideWhenUsed/>
    <w:rPr>
      <w:vertAlign w:val="superscript"/>
    </w:rPr>
  </w:style>
  <w:style w:type="paragraph" w:styleId="179">
    <w:name w:val="toc 1"/>
    <w:basedOn w:val="790"/>
    <w:next w:val="79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90"/>
    <w:next w:val="79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90"/>
    <w:next w:val="79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90"/>
    <w:next w:val="79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90"/>
    <w:next w:val="79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90"/>
    <w:next w:val="79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90"/>
    <w:next w:val="79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90"/>
    <w:next w:val="79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90"/>
    <w:next w:val="79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90"/>
    <w:next w:val="790"/>
    <w:uiPriority w:val="99"/>
    <w:unhideWhenUsed/>
    <w:pPr>
      <w:spacing w:after="0" w:afterAutospacing="0"/>
    </w:pPr>
  </w:style>
  <w:style w:type="paragraph" w:styleId="790" w:default="1">
    <w:name w:val="Normal"/>
    <w:qFormat/>
    <w:pPr>
      <w:jc w:val="both"/>
    </w:pPr>
    <w:rPr>
      <w:sz w:val="26"/>
    </w:rPr>
  </w:style>
  <w:style w:type="character" w:styleId="791" w:default="1">
    <w:name w:val="Default Paragraph Font"/>
    <w:uiPriority w:val="1"/>
    <w:semiHidden/>
    <w:unhideWhenUsed/>
  </w:style>
  <w:style w:type="table" w:styleId="7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paragraph" w:styleId="794">
    <w:name w:val="Header"/>
    <w:basedOn w:val="790"/>
    <w:link w:val="805"/>
    <w:pPr>
      <w:tabs>
        <w:tab w:val="center" w:pos="4153" w:leader="none"/>
        <w:tab w:val="right" w:pos="8306" w:leader="none"/>
      </w:tabs>
    </w:pPr>
  </w:style>
  <w:style w:type="paragraph" w:styleId="795">
    <w:name w:val="Title"/>
    <w:basedOn w:val="790"/>
    <w:qFormat/>
    <w:pPr>
      <w:jc w:val="center"/>
      <w:spacing w:before="240" w:after="60"/>
      <w:outlineLvl w:val="0"/>
    </w:pPr>
    <w:rPr>
      <w:rFonts w:ascii="Arial" w:hAnsi="Arial"/>
      <w:b/>
      <w:sz w:val="32"/>
    </w:rPr>
  </w:style>
  <w:style w:type="paragraph" w:styleId="796">
    <w:name w:val="Body Text"/>
    <w:basedOn w:val="790"/>
    <w:pPr>
      <w:spacing w:after="120"/>
    </w:pPr>
  </w:style>
  <w:style w:type="paragraph" w:styleId="797">
    <w:name w:val="Body Text First Indent"/>
    <w:basedOn w:val="796"/>
    <w:pPr>
      <w:ind w:firstLine="709"/>
    </w:pPr>
  </w:style>
  <w:style w:type="paragraph" w:styleId="798">
    <w:name w:val="Caption"/>
    <w:basedOn w:val="790"/>
    <w:next w:val="790"/>
    <w:qFormat/>
    <w:pPr>
      <w:jc w:val="right"/>
      <w:spacing w:before="120" w:after="120"/>
    </w:pPr>
    <w:rPr>
      <w:b/>
    </w:rPr>
  </w:style>
  <w:style w:type="paragraph" w:styleId="799">
    <w:name w:val="index 1"/>
    <w:basedOn w:val="790"/>
    <w:next w:val="790"/>
    <w:semiHidden/>
    <w:pPr>
      <w:ind w:left="260" w:hanging="260"/>
    </w:pPr>
  </w:style>
  <w:style w:type="paragraph" w:styleId="800">
    <w:name w:val="Footer"/>
    <w:basedOn w:val="790"/>
    <w:pPr>
      <w:tabs>
        <w:tab w:val="center" w:pos="4153" w:leader="none"/>
        <w:tab w:val="right" w:pos="8306" w:leader="none"/>
      </w:tabs>
    </w:pPr>
  </w:style>
  <w:style w:type="character" w:styleId="801">
    <w:name w:val="Hyperlink"/>
    <w:basedOn w:val="791"/>
    <w:rPr>
      <w:color w:val="0000FF"/>
      <w:u w:val="single"/>
    </w:rPr>
  </w:style>
  <w:style w:type="table" w:styleId="802">
    <w:name w:val="Table Grid"/>
    <w:basedOn w:val="792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03" w:customStyle="1">
    <w:name w:val="Знак"/>
    <w:basedOn w:val="790"/>
    <w:pPr>
      <w:jc w:val="left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804">
    <w:name w:val="Subtitle"/>
    <w:basedOn w:val="790"/>
    <w:qFormat/>
    <w:pPr>
      <w:jc w:val="center"/>
    </w:pPr>
    <w:rPr>
      <w:b/>
      <w:bCs/>
      <w:sz w:val="24"/>
      <w:szCs w:val="24"/>
    </w:rPr>
  </w:style>
  <w:style w:type="character" w:styleId="805" w:customStyle="1">
    <w:name w:val="Верхний колонтитул Знак"/>
    <w:basedOn w:val="791"/>
    <w:link w:val="794"/>
    <w:rPr>
      <w:sz w:val="26"/>
    </w:rPr>
  </w:style>
  <w:style w:type="paragraph" w:styleId="806">
    <w:name w:val="Balloon Text"/>
    <w:basedOn w:val="790"/>
    <w:link w:val="807"/>
    <w:rPr>
      <w:rFonts w:ascii="Tahoma" w:hAnsi="Tahoma" w:cs="Tahoma"/>
      <w:sz w:val="16"/>
      <w:szCs w:val="16"/>
    </w:rPr>
  </w:style>
  <w:style w:type="character" w:styleId="807" w:customStyle="1">
    <w:name w:val="Текст выноски Знак"/>
    <w:basedOn w:val="791"/>
    <w:link w:val="806"/>
    <w:rPr>
      <w:rFonts w:ascii="Tahoma" w:hAnsi="Tahoma" w:cs="Tahoma"/>
      <w:sz w:val="16"/>
      <w:szCs w:val="16"/>
    </w:rPr>
  </w:style>
  <w:style w:type="paragraph" w:styleId="808" w:customStyle="1">
    <w:name w:val="ConsPlusNormal"/>
    <w:rPr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FD81D67-9635-4CE8-9EBE-D38D0F9F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МГИ РК</Company>
  <DocSecurity>0</DocSecurity>
  <HyperlinksChanged>false</HyperlinksChanged>
  <LinksUpToDate>false</LinksUpToDate>
  <ScaleCrop>false</ScaleCrop>
  <SharedDoc>false</SharedDoc>
  <Template>Бланк Агентство письмо.dot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User</dc:creator>
  <cp:lastModifiedBy>Ачинеровское СМО РК</cp:lastModifiedBy>
  <cp:revision>3</cp:revision>
  <dcterms:created xsi:type="dcterms:W3CDTF">2022-10-20T12:00:00Z</dcterms:created>
  <dcterms:modified xsi:type="dcterms:W3CDTF">2022-10-27T07:19:57Z</dcterms:modified>
</cp:coreProperties>
</file>