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Приложение к Постановлению</w:t>
      </w:r>
      <w:r>
        <w:rPr>
          <w:color w:val="2D2D2D"/>
          <w:spacing w:val="2"/>
          <w:sz w:val="20"/>
          <w:szCs w:val="20"/>
        </w:rPr>
        <w:br/>
        <w:t xml:space="preserve"> N 17 от 10июля 2018 г. </w:t>
      </w:r>
    </w:p>
    <w:p w:rsidR="001D449A" w:rsidRDefault="001D449A" w:rsidP="001D449A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  <w:u w:val="single"/>
        </w:rPr>
        <w:br/>
      </w:r>
    </w:p>
    <w:p w:rsidR="001D449A" w:rsidRDefault="001D449A" w:rsidP="001D44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bookmarkStart w:id="0" w:name="_GoBack"/>
      <w:r>
        <w:rPr>
          <w:color w:val="3C3C3C"/>
          <w:spacing w:val="2"/>
          <w:sz w:val="28"/>
          <w:szCs w:val="28"/>
        </w:rPr>
        <w:t xml:space="preserve"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3C3C3C"/>
          <w:spacing w:val="2"/>
          <w:sz w:val="28"/>
          <w:szCs w:val="28"/>
        </w:rPr>
        <w:t>Ачинеровского</w:t>
      </w:r>
      <w:proofErr w:type="spellEnd"/>
      <w:r>
        <w:rPr>
          <w:color w:val="3C3C3C"/>
          <w:spacing w:val="2"/>
          <w:sz w:val="28"/>
          <w:szCs w:val="28"/>
        </w:rPr>
        <w:t xml:space="preserve"> СМО РК</w:t>
      </w:r>
      <w:bookmarkEnd w:id="0"/>
    </w:p>
    <w:p w:rsidR="001D449A" w:rsidRDefault="001D449A" w:rsidP="001D4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D449A" w:rsidRDefault="001D449A" w:rsidP="001D4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 (далее - Порядок) разработан на основании </w:t>
      </w:r>
      <w:hyperlink r:id="rId4" w:history="1">
        <w:r>
          <w:rPr>
            <w:rStyle w:val="a3"/>
            <w:color w:val="auto"/>
            <w:spacing w:val="2"/>
            <w:u w:val="none"/>
          </w:rPr>
          <w:t>статьи 156 Жилищного кодекса Российской Федерации</w:t>
        </w:r>
      </w:hyperlink>
      <w:r>
        <w:rPr>
          <w:spacing w:val="2"/>
        </w:rPr>
        <w:t> 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</w:t>
      </w:r>
      <w:proofErr w:type="gramEnd"/>
      <w:r>
        <w:rPr>
          <w:spacing w:val="2"/>
        </w:rPr>
        <w:t xml:space="preserve"> найма и договорам найма жилых помещений государственного или муниципального жилищного фонда, </w:t>
      </w:r>
      <w:proofErr w:type="gramStart"/>
      <w:r>
        <w:rPr>
          <w:spacing w:val="2"/>
        </w:rPr>
        <w:t>утвержденными</w:t>
      </w:r>
      <w:proofErr w:type="gramEnd"/>
      <w:r>
        <w:rPr>
          <w:spacing w:val="2"/>
        </w:rPr>
        <w:t xml:space="preserve"> Приказом Министерства строительства и жилищно-коммунального хозяйства Российской Федерации </w:t>
      </w:r>
      <w:hyperlink r:id="rId5" w:history="1">
        <w:r>
          <w:rPr>
            <w:rStyle w:val="a3"/>
            <w:color w:val="auto"/>
            <w:spacing w:val="2"/>
            <w:u w:val="none"/>
          </w:rPr>
          <w:t>от 27.09.2016 N 668/пр</w:t>
        </w:r>
      </w:hyperlink>
      <w:r>
        <w:rPr>
          <w:spacing w:val="2"/>
        </w:rPr>
        <w:t>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2. Определение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2.1.Размер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РК, определяется по формуле:</w:t>
      </w:r>
      <w:r>
        <w:rPr>
          <w:spacing w:val="2"/>
        </w:rPr>
        <w:br/>
      </w:r>
      <w:r>
        <w:rPr>
          <w:spacing w:val="2"/>
        </w:rPr>
        <w:br/>
      </w:r>
      <w:proofErr w:type="spellStart"/>
      <w:proofErr w:type="gramStart"/>
      <w:r>
        <w:rPr>
          <w:spacing w:val="2"/>
        </w:rPr>
        <w:t>Пн</w:t>
      </w:r>
      <w:proofErr w:type="spellEnd"/>
      <w:proofErr w:type="gramEnd"/>
      <w:r>
        <w:rPr>
          <w:spacing w:val="2"/>
        </w:rPr>
        <w:t xml:space="preserve"> = </w:t>
      </w:r>
      <w:proofErr w:type="spellStart"/>
      <w:r>
        <w:rPr>
          <w:spacing w:val="2"/>
        </w:rPr>
        <w:t>Нб</w:t>
      </w:r>
      <w:proofErr w:type="spellEnd"/>
      <w:r>
        <w:rPr>
          <w:spacing w:val="2"/>
        </w:rPr>
        <w:t xml:space="preserve"> * К * Кс * П, где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spellStart"/>
      <w:proofErr w:type="gramStart"/>
      <w:r>
        <w:rPr>
          <w:spacing w:val="2"/>
        </w:rPr>
        <w:t>Пн</w:t>
      </w:r>
      <w:proofErr w:type="spellEnd"/>
      <w:proofErr w:type="gramEnd"/>
      <w:r>
        <w:rPr>
          <w:spacing w:val="2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spellStart"/>
      <w:r>
        <w:rPr>
          <w:spacing w:val="2"/>
        </w:rPr>
        <w:t>Нб</w:t>
      </w:r>
      <w:proofErr w:type="spellEnd"/>
      <w:r>
        <w:rPr>
          <w:spacing w:val="2"/>
        </w:rPr>
        <w:t xml:space="preserve"> - базовый размер платы за наем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К</w:t>
      </w:r>
      <w:proofErr w:type="gramEnd"/>
      <w:r>
        <w:rPr>
          <w:spacing w:val="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Кс - коэффициент соответствия платы;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</w:t>
      </w:r>
      <w:proofErr w:type="gramEnd"/>
      <w:r>
        <w:rPr>
          <w:spacing w:val="2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  <w:r>
        <w:rPr>
          <w:spacing w:val="2"/>
        </w:rPr>
        <w:br/>
      </w:r>
      <w:r>
        <w:rPr>
          <w:spacing w:val="2"/>
        </w:rPr>
        <w:br/>
      </w:r>
      <w:r>
        <w:rPr>
          <w:spacing w:val="2"/>
        </w:rPr>
        <w:lastRenderedPageBreak/>
        <w:t>2.2. Величина базового размера платы за наем жилого помещения составляет 49,50 руб.* за один квадратный метр общей площади жилого помещения в месяц.  </w:t>
      </w:r>
      <w:r>
        <w:rPr>
          <w:spacing w:val="2"/>
        </w:rPr>
        <w:br/>
      </w:r>
      <w:r>
        <w:rPr>
          <w:spacing w:val="2"/>
        </w:rPr>
        <w:br/>
        <w:t xml:space="preserve">* Величина базового размера платы за наем определяется как произведение средней цены одного квадратного метра на вторичном рынке жилья в </w:t>
      </w:r>
      <w:proofErr w:type="spellStart"/>
      <w:r>
        <w:rPr>
          <w:spacing w:val="2"/>
        </w:rPr>
        <w:t>Ачинеровском</w:t>
      </w:r>
      <w:proofErr w:type="spellEnd"/>
      <w:r>
        <w:rPr>
          <w:spacing w:val="2"/>
        </w:rPr>
        <w:t xml:space="preserve"> СМО РК на коэффициент 0,001.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Средняя цена одного квадратного метра на вторичном рынке жилья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 определяется по данным Территориального органа Федеральной службы государственной статистики по Республике Калмыкия за I квартал 2018 года.</w:t>
      </w:r>
      <w:r>
        <w:rPr>
          <w:spacing w:val="2"/>
        </w:rPr>
        <w:br/>
      </w:r>
      <w:r>
        <w:rPr>
          <w:spacing w:val="2"/>
        </w:rPr>
        <w:br/>
        <w:t>2.3.Размер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Интегральное значение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формуле:</w:t>
      </w:r>
      <w:r>
        <w:rPr>
          <w:spacing w:val="2"/>
        </w:rPr>
        <w:br/>
      </w:r>
      <w:r>
        <w:rPr>
          <w:spacing w:val="2"/>
        </w:rPr>
        <w:br/>
      </w:r>
      <w:r>
        <w:rPr>
          <w:noProof/>
          <w:spacing w:val="2"/>
        </w:rPr>
        <w:drawing>
          <wp:inline distT="0" distB="0" distL="0" distR="0">
            <wp:extent cx="885825" cy="257175"/>
            <wp:effectExtent l="0" t="0" r="9525" b="9525"/>
            <wp:docPr id="2" name="Рисунок 2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2"/>
        </w:rPr>
        <w:drawing>
          <wp:inline distT="0" distB="0" distL="0" distR="0">
            <wp:extent cx="885825" cy="257175"/>
            <wp:effectExtent l="0" t="0" r="9525" b="9525"/>
            <wp:docPr id="1" name="Рисунок 1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"/>
        </w:rPr>
        <w:t>где</w:t>
      </w:r>
      <w:proofErr w:type="gramStart"/>
      <w:r>
        <w:rPr>
          <w:spacing w:val="2"/>
        </w:rPr>
        <w:br/>
        <w:t>К</w:t>
      </w:r>
      <w:proofErr w:type="gramEnd"/>
      <w:r>
        <w:rPr>
          <w:spacing w:val="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 xml:space="preserve"> - коэффициент, характеризующий качество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</w:t>
      </w:r>
      <w:proofErr w:type="gramStart"/>
      <w:r>
        <w:rPr>
          <w:spacing w:val="2"/>
        </w:rPr>
        <w:t>2</w:t>
      </w:r>
      <w:proofErr w:type="gramEnd"/>
      <w:r>
        <w:rPr>
          <w:spacing w:val="2"/>
        </w:rPr>
        <w:t xml:space="preserve"> - коэффициент, характеризующий благоустройство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К3 - коэффициент месторасположения дома.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2.4.Коэффициент, характеризующий качество жилого помещения - К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: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0"/>
        <w:gridCol w:w="1265"/>
      </w:tblGrid>
      <w:tr w:rsidR="001D449A" w:rsidTr="001D449A">
        <w:trPr>
          <w:trHeight w:val="15"/>
        </w:trPr>
        <w:tc>
          <w:tcPr>
            <w:tcW w:w="10534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Показатели качества жилого помещения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материал стен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каменные, кирпичные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0,6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монолитные, блочные, панельные, смешанные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0,6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деревянные, щитовые, прочие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0,5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уровень износа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0 до 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0,4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31 до 65%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0,3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66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0,2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0,15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срок эксплуатации дома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0 - 30 лет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0,3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31 - 60 лет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0,2</w:t>
            </w:r>
          </w:p>
        </w:tc>
      </w:tr>
      <w:tr w:rsidR="001D449A" w:rsidTr="001D449A">
        <w:tc>
          <w:tcPr>
            <w:tcW w:w="10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свыше 61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0,15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  <w:u w:val="single"/>
        </w:rPr>
        <w:br/>
      </w:r>
      <w:r>
        <w:rPr>
          <w:spacing w:val="2"/>
        </w:rPr>
        <w:t>* коэффициент, характеризующий качество жилого помещения, определяется путем сложения значений показателей качества жилого помещения</w:t>
      </w:r>
      <w:r>
        <w:rPr>
          <w:spacing w:val="2"/>
        </w:rPr>
        <w:br/>
      </w:r>
      <w:r>
        <w:rPr>
          <w:spacing w:val="2"/>
        </w:rPr>
        <w:br/>
      </w:r>
      <w:r>
        <w:rPr>
          <w:spacing w:val="2"/>
        </w:rPr>
        <w:lastRenderedPageBreak/>
        <w:t>2.5. Коэффициент, характеризующий благоустройство жилого помещения - К</w:t>
      </w:r>
      <w:proofErr w:type="gramStart"/>
      <w:r>
        <w:rPr>
          <w:spacing w:val="2"/>
        </w:rPr>
        <w:t>2</w:t>
      </w:r>
      <w:proofErr w:type="gramEnd"/>
      <w:r>
        <w:rPr>
          <w:spacing w:val="2"/>
        </w:rPr>
        <w:t>:</w:t>
      </w:r>
      <w:r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7"/>
        <w:gridCol w:w="1194"/>
      </w:tblGrid>
      <w:tr w:rsidR="001D449A" w:rsidTr="001D449A">
        <w:trPr>
          <w:trHeight w:val="15"/>
        </w:trPr>
        <w:tc>
          <w:tcPr>
            <w:tcW w:w="7877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</w:rPr>
              <w:t>К</w:t>
            </w:r>
            <w:r>
              <w:rPr>
                <w:b/>
                <w:bCs/>
              </w:rPr>
              <w:t>атегории  домов по степени благоустройства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с полной степенью благоустройства,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1,3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 полной степенью благоустройства с индивидуальными водонагревателями в жилых помещениях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1,1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частично 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0,9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неблагоустроенные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0,8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center"/>
        <w:textAlignment w:val="baseline"/>
        <w:rPr>
          <w:spacing w:val="2"/>
        </w:rPr>
      </w:pPr>
      <w:r>
        <w:rPr>
          <w:spacing w:val="2"/>
          <w:u w:val="single"/>
        </w:rPr>
        <w:t> </w:t>
      </w:r>
    </w:p>
    <w:p w:rsidR="001D449A" w:rsidRDefault="001D449A" w:rsidP="001D449A">
      <w:pPr>
        <w:shd w:val="clear" w:color="auto" w:fill="FFFFFF"/>
        <w:spacing w:line="285" w:lineRule="atLeast"/>
        <w:textAlignment w:val="baseline"/>
        <w:rPr>
          <w:spacing w:val="2"/>
        </w:rPr>
      </w:pPr>
      <w:r>
        <w:rPr>
          <w:spacing w:val="2"/>
        </w:rPr>
        <w:t>2.6. Коэффициент месторасположения дома - К3:</w:t>
      </w:r>
      <w:r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26"/>
        <w:gridCol w:w="1229"/>
      </w:tblGrid>
      <w:tr w:rsidR="001D449A" w:rsidTr="001D449A">
        <w:trPr>
          <w:trHeight w:val="15"/>
        </w:trPr>
        <w:tc>
          <w:tcPr>
            <w:tcW w:w="8126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 xml:space="preserve">Район расположения дома 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К3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Центр,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1,3</w:t>
            </w: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ул. </w:t>
            </w:r>
            <w:proofErr w:type="spellStart"/>
            <w:r>
              <w:t>Б.Б.Городовикова</w:t>
            </w:r>
            <w:proofErr w:type="spellEnd"/>
            <w:r>
              <w:t xml:space="preserve">, ул. </w:t>
            </w:r>
            <w:proofErr w:type="spellStart"/>
            <w:r>
              <w:t>В.И.Ленина,ул.Бр</w:t>
            </w:r>
            <w:proofErr w:type="gramStart"/>
            <w:r>
              <w:t>.Л</w:t>
            </w:r>
            <w:proofErr w:type="gramEnd"/>
            <w:r>
              <w:t>укшановых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1,2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proofErr w:type="spellStart"/>
            <w:r>
              <w:t>Ул.Н.Б.Арлтанова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1,1</w:t>
            </w: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ул. А.С.Пушкина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ул. </w:t>
            </w:r>
            <w:proofErr w:type="spellStart"/>
            <w:r>
              <w:t>З.М.Шанкиева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0,9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  <w:u w:val="single"/>
        </w:rPr>
        <w:br/>
      </w:r>
      <w:r>
        <w:rPr>
          <w:spacing w:val="2"/>
        </w:rPr>
        <w:t xml:space="preserve">2.7. Коэффициент соответствия платы устанавливается в размере 0,17 и является единым для всех граждан, проживающих в </w:t>
      </w:r>
      <w:proofErr w:type="spellStart"/>
      <w:r>
        <w:rPr>
          <w:spacing w:val="2"/>
        </w:rPr>
        <w:t>Ачинеровском</w:t>
      </w:r>
      <w:proofErr w:type="spellEnd"/>
      <w:r>
        <w:rPr>
          <w:spacing w:val="2"/>
        </w:rPr>
        <w:t xml:space="preserve"> СМО РК.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2.8. Граждане,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(платы за наем).</w:t>
      </w:r>
      <w:r>
        <w:rPr>
          <w:spacing w:val="2"/>
        </w:rPr>
        <w:br/>
      </w:r>
      <w:r>
        <w:rPr>
          <w:spacing w:val="2"/>
        </w:rPr>
        <w:br/>
        <w:t>2.9. Граждане, занимающие жилые помещения по договорам социального найма, признанные в установленном законом порядке непригодными для проживания, а также жилые помещения, расположенные в домах, признанных аварийными и подлежащими сносу или реконструкции, освобождаются от внесения платы за пользование жилым помещением (платы за наем).</w:t>
      </w:r>
    </w:p>
    <w:p w:rsidR="001D449A" w:rsidRDefault="001D449A" w:rsidP="001D449A">
      <w:pPr>
        <w:jc w:val="both"/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7241F1" w:rsidRDefault="007241F1"/>
    <w:sectPr w:rsidR="007241F1" w:rsidSect="0059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49A"/>
    <w:rsid w:val="0001299C"/>
    <w:rsid w:val="001D449A"/>
    <w:rsid w:val="005958E1"/>
    <w:rsid w:val="007241F1"/>
    <w:rsid w:val="00C7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420379949" TargetMode="External"/><Relationship Id="rId4" Type="http://schemas.openxmlformats.org/officeDocument/2006/relationships/hyperlink" Target="http://docs.cntd.ru/document/90191994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User</cp:lastModifiedBy>
  <cp:revision>2</cp:revision>
  <dcterms:created xsi:type="dcterms:W3CDTF">2018-09-03T10:10:00Z</dcterms:created>
  <dcterms:modified xsi:type="dcterms:W3CDTF">2018-09-03T10:10:00Z</dcterms:modified>
</cp:coreProperties>
</file>